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51D2" w14:textId="406BCF35" w:rsidR="00C6153E" w:rsidRPr="000774DE" w:rsidRDefault="00C6153E" w:rsidP="00C6153E">
      <w:pPr>
        <w:pStyle w:val="v1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774DE">
        <w:rPr>
          <w:rStyle w:val="Pogrubienie"/>
          <w:rFonts w:ascii="Calibri" w:hAnsi="Calibri" w:cs="Calibri"/>
          <w:color w:val="000000"/>
          <w:sz w:val="22"/>
          <w:szCs w:val="22"/>
        </w:rPr>
        <w:t>Jesienią rozrywka wróciła do gry</w:t>
      </w:r>
    </w:p>
    <w:p w14:paraId="1B0D00A9" w14:textId="77777777" w:rsidR="00C6153E" w:rsidRPr="000774DE" w:rsidRDefault="00C6153E" w:rsidP="00C6153E">
      <w:pPr>
        <w:pStyle w:val="v1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F8FC4BF" w14:textId="780593C3" w:rsidR="00C6153E" w:rsidRPr="000774DE" w:rsidRDefault="00C6153E" w:rsidP="00C6153E">
      <w:pPr>
        <w:pStyle w:val="v1msonormal"/>
        <w:numPr>
          <w:ilvl w:val="0"/>
          <w:numId w:val="12"/>
        </w:numPr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774DE">
        <w:rPr>
          <w:rFonts w:ascii="Calibri" w:hAnsi="Calibri" w:cs="Calibri"/>
          <w:b/>
          <w:bCs/>
          <w:color w:val="000000"/>
          <w:sz w:val="22"/>
          <w:szCs w:val="22"/>
        </w:rPr>
        <w:t>Dane faktura.pl pokazują, że w październiku 2021</w:t>
      </w:r>
      <w:r w:rsidR="00FF7C05">
        <w:rPr>
          <w:rFonts w:ascii="Calibri" w:hAnsi="Calibri" w:cs="Calibri"/>
          <w:b/>
          <w:bCs/>
          <w:color w:val="000000"/>
          <w:sz w:val="22"/>
          <w:szCs w:val="22"/>
        </w:rPr>
        <w:t xml:space="preserve"> r.</w:t>
      </w:r>
      <w:r w:rsidRPr="000774DE">
        <w:rPr>
          <w:rFonts w:ascii="Calibri" w:hAnsi="Calibri" w:cs="Calibri"/>
          <w:b/>
          <w:bCs/>
          <w:color w:val="000000"/>
          <w:sz w:val="22"/>
          <w:szCs w:val="22"/>
        </w:rPr>
        <w:t xml:space="preserve"> firmy zajmujące się rozrywką wystawiły o</w:t>
      </w:r>
      <w:r w:rsidRPr="000774DE">
        <w:rPr>
          <w:rStyle w:val="apple-converted-space"/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0774DE">
        <w:rPr>
          <w:rFonts w:ascii="Calibri" w:hAnsi="Calibri" w:cs="Calibri"/>
          <w:b/>
          <w:bCs/>
          <w:color w:val="000000"/>
          <w:sz w:val="22"/>
          <w:szCs w:val="22"/>
        </w:rPr>
        <w:t>45% więcej faktur niż rok temu.</w:t>
      </w:r>
    </w:p>
    <w:p w14:paraId="1249D810" w14:textId="001DEE2B" w:rsidR="00C6153E" w:rsidRPr="000774DE" w:rsidRDefault="00EC1D44" w:rsidP="00C6153E">
      <w:pPr>
        <w:pStyle w:val="v1msonormal"/>
        <w:numPr>
          <w:ilvl w:val="0"/>
          <w:numId w:val="12"/>
        </w:numPr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774DE">
        <w:rPr>
          <w:rFonts w:ascii="Calibri" w:hAnsi="Calibri" w:cs="Calibri"/>
          <w:b/>
          <w:bCs/>
          <w:color w:val="000000"/>
          <w:sz w:val="22"/>
          <w:szCs w:val="22"/>
        </w:rPr>
        <w:t xml:space="preserve">Polskie </w:t>
      </w:r>
      <w:proofErr w:type="spellStart"/>
      <w:r w:rsidRPr="000774DE">
        <w:rPr>
          <w:rFonts w:ascii="Calibri" w:hAnsi="Calibri" w:cs="Calibri"/>
          <w:b/>
          <w:bCs/>
          <w:color w:val="000000"/>
          <w:sz w:val="22"/>
          <w:szCs w:val="22"/>
        </w:rPr>
        <w:t>mikrobiznesy</w:t>
      </w:r>
      <w:proofErr w:type="spellEnd"/>
      <w:r w:rsidRPr="000774DE">
        <w:rPr>
          <w:rFonts w:ascii="Calibri" w:hAnsi="Calibri" w:cs="Calibri"/>
          <w:b/>
          <w:bCs/>
          <w:color w:val="000000"/>
          <w:sz w:val="22"/>
          <w:szCs w:val="22"/>
        </w:rPr>
        <w:t xml:space="preserve"> rozwijają usługi rozrywkowe</w:t>
      </w:r>
      <w:r w:rsidR="00070601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0774DE">
        <w:rPr>
          <w:rFonts w:ascii="Calibri" w:hAnsi="Calibri" w:cs="Calibri"/>
          <w:b/>
          <w:bCs/>
          <w:color w:val="000000"/>
          <w:sz w:val="22"/>
          <w:szCs w:val="22"/>
        </w:rPr>
        <w:t xml:space="preserve"> na których da się zarabiać online (aplikacje, gry).</w:t>
      </w:r>
    </w:p>
    <w:p w14:paraId="31175562" w14:textId="385432D3" w:rsidR="00C6153E" w:rsidRPr="000774DE" w:rsidRDefault="00EC1D44" w:rsidP="000774DE">
      <w:pPr>
        <w:pStyle w:val="v1msonormal"/>
        <w:numPr>
          <w:ilvl w:val="0"/>
          <w:numId w:val="12"/>
        </w:numPr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774DE">
        <w:rPr>
          <w:rFonts w:ascii="Calibri" w:hAnsi="Calibri" w:cs="Calibri"/>
          <w:b/>
          <w:bCs/>
          <w:color w:val="000000"/>
          <w:sz w:val="22"/>
          <w:szCs w:val="22"/>
        </w:rPr>
        <w:t xml:space="preserve">Ciągle chcemy chodzić też na koncerty i na mecze. </w:t>
      </w:r>
      <w:r w:rsidR="000774DE" w:rsidRPr="000774DE">
        <w:rPr>
          <w:rFonts w:ascii="Calibri" w:hAnsi="Calibri" w:cs="Calibri"/>
          <w:b/>
          <w:bCs/>
          <w:color w:val="000000"/>
          <w:sz w:val="22"/>
          <w:szCs w:val="22"/>
        </w:rPr>
        <w:t>Problemem są opóźnienia w płatnościach rat sponsorskich.</w:t>
      </w:r>
    </w:p>
    <w:p w14:paraId="364E8151" w14:textId="70D8B689" w:rsidR="00C6153E" w:rsidRPr="000774DE" w:rsidRDefault="00C6153E">
      <w:pPr>
        <w:rPr>
          <w:sz w:val="22"/>
          <w:szCs w:val="22"/>
        </w:rPr>
      </w:pPr>
    </w:p>
    <w:p w14:paraId="7D5E43BF" w14:textId="6693CA7A" w:rsidR="00E02907" w:rsidRPr="000774DE" w:rsidRDefault="00CE583D" w:rsidP="00E02907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0774DE">
        <w:rPr>
          <w:sz w:val="22"/>
          <w:szCs w:val="22"/>
        </w:rPr>
        <w:t xml:space="preserve">Firmy z szeroko rozumianej branży rozrywkowej to istotna część polskiego </w:t>
      </w:r>
      <w:proofErr w:type="spellStart"/>
      <w:r w:rsidRPr="000774DE">
        <w:rPr>
          <w:sz w:val="22"/>
          <w:szCs w:val="22"/>
        </w:rPr>
        <w:t>mikrobiznesu</w:t>
      </w:r>
      <w:proofErr w:type="spellEnd"/>
      <w:r w:rsidRPr="000774DE">
        <w:rPr>
          <w:sz w:val="22"/>
          <w:szCs w:val="22"/>
        </w:rPr>
        <w:t xml:space="preserve">. To </w:t>
      </w:r>
      <w:r w:rsidR="00E66D36" w:rsidRPr="000774DE">
        <w:rPr>
          <w:sz w:val="22"/>
          <w:szCs w:val="22"/>
        </w:rPr>
        <w:t xml:space="preserve">bardzo różne </w:t>
      </w:r>
      <w:proofErr w:type="spellStart"/>
      <w:r w:rsidR="000774DE" w:rsidRPr="000774DE">
        <w:rPr>
          <w:sz w:val="22"/>
          <w:szCs w:val="22"/>
        </w:rPr>
        <w:t>poodmioty</w:t>
      </w:r>
      <w:proofErr w:type="spellEnd"/>
      <w:r w:rsidRPr="000774DE">
        <w:rPr>
          <w:sz w:val="22"/>
          <w:szCs w:val="22"/>
        </w:rPr>
        <w:t xml:space="preserve"> </w:t>
      </w:r>
      <w:r w:rsidR="00E66D36" w:rsidRPr="000774DE">
        <w:rPr>
          <w:sz w:val="22"/>
          <w:szCs w:val="22"/>
        </w:rPr>
        <w:t xml:space="preserve">- </w:t>
      </w:r>
      <w:r w:rsidRPr="000774DE">
        <w:rPr>
          <w:sz w:val="22"/>
          <w:szCs w:val="22"/>
        </w:rPr>
        <w:t xml:space="preserve">od </w:t>
      </w:r>
      <w:r w:rsidR="00546899" w:rsidRPr="000774DE">
        <w:rPr>
          <w:sz w:val="22"/>
          <w:szCs w:val="22"/>
        </w:rPr>
        <w:t>twórców aplikacji i opro</w:t>
      </w:r>
      <w:r w:rsidR="00E66D36" w:rsidRPr="000774DE">
        <w:rPr>
          <w:sz w:val="22"/>
          <w:szCs w:val="22"/>
        </w:rPr>
        <w:t>g</w:t>
      </w:r>
      <w:r w:rsidR="00546899" w:rsidRPr="000774DE">
        <w:rPr>
          <w:sz w:val="22"/>
          <w:szCs w:val="22"/>
        </w:rPr>
        <w:t xml:space="preserve">ramowania przez </w:t>
      </w:r>
      <w:r w:rsidR="00B1729A" w:rsidRPr="000774DE">
        <w:rPr>
          <w:sz w:val="22"/>
          <w:szCs w:val="22"/>
        </w:rPr>
        <w:t>organizatorów koncertów i wystaw</w:t>
      </w:r>
      <w:r w:rsidR="00546899" w:rsidRPr="000774DE">
        <w:rPr>
          <w:sz w:val="22"/>
          <w:szCs w:val="22"/>
        </w:rPr>
        <w:t xml:space="preserve"> po firmy z kategorii </w:t>
      </w:r>
      <w:r w:rsidRPr="000774DE">
        <w:rPr>
          <w:sz w:val="22"/>
          <w:szCs w:val="22"/>
        </w:rPr>
        <w:t xml:space="preserve">obsługi </w:t>
      </w:r>
      <w:r w:rsidR="00546899" w:rsidRPr="000774DE">
        <w:rPr>
          <w:sz w:val="22"/>
          <w:szCs w:val="22"/>
        </w:rPr>
        <w:t>eventów. Przedsiębiorcy, którzy bazują na zdalnych</w:t>
      </w:r>
      <w:r w:rsidR="00E66D36" w:rsidRPr="000774DE">
        <w:rPr>
          <w:sz w:val="22"/>
          <w:szCs w:val="22"/>
        </w:rPr>
        <w:t>,</w:t>
      </w:r>
      <w:r w:rsidR="00546899" w:rsidRPr="000774DE">
        <w:rPr>
          <w:sz w:val="22"/>
          <w:szCs w:val="22"/>
        </w:rPr>
        <w:t xml:space="preserve"> </w:t>
      </w:r>
      <w:proofErr w:type="spellStart"/>
      <w:r w:rsidR="00546899" w:rsidRPr="000774DE">
        <w:rPr>
          <w:sz w:val="22"/>
          <w:szCs w:val="22"/>
        </w:rPr>
        <w:t>onlinowych</w:t>
      </w:r>
      <w:proofErr w:type="spellEnd"/>
      <w:r w:rsidR="00546899" w:rsidRPr="000774DE">
        <w:rPr>
          <w:sz w:val="22"/>
          <w:szCs w:val="22"/>
        </w:rPr>
        <w:t xml:space="preserve"> formach działania przez całą pandemię mi</w:t>
      </w:r>
      <w:r w:rsidR="00E66D36" w:rsidRPr="000774DE">
        <w:rPr>
          <w:sz w:val="22"/>
          <w:szCs w:val="22"/>
        </w:rPr>
        <w:t>eli</w:t>
      </w:r>
      <w:r w:rsidR="00546899" w:rsidRPr="000774DE">
        <w:rPr>
          <w:sz w:val="22"/>
          <w:szCs w:val="22"/>
        </w:rPr>
        <w:t xml:space="preserve"> się dobrze</w:t>
      </w:r>
      <w:r w:rsidR="00E66D36" w:rsidRPr="000774DE">
        <w:rPr>
          <w:sz w:val="22"/>
          <w:szCs w:val="22"/>
        </w:rPr>
        <w:t>, a nawet rozwijali działalność</w:t>
      </w:r>
      <w:r w:rsidR="000774DE">
        <w:rPr>
          <w:sz w:val="22"/>
          <w:szCs w:val="22"/>
        </w:rPr>
        <w:t xml:space="preserve"> wielokrotnie dołączając do światowej czołówki</w:t>
      </w:r>
      <w:r w:rsidR="00546899" w:rsidRPr="000774DE">
        <w:rPr>
          <w:sz w:val="22"/>
          <w:szCs w:val="22"/>
        </w:rPr>
        <w:t xml:space="preserve">. </w:t>
      </w:r>
      <w:r w:rsidR="00E02907" w:rsidRPr="000774D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Wg raportu </w:t>
      </w:r>
      <w:proofErr w:type="spellStart"/>
      <w:r w:rsidR="00E02907" w:rsidRPr="00C6153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SuperData</w:t>
      </w:r>
      <w:proofErr w:type="spellEnd"/>
      <w:r w:rsidR="000774D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/ </w:t>
      </w:r>
      <w:r w:rsidR="00E02907" w:rsidRPr="00C6153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Nielsen </w:t>
      </w:r>
      <w:r w:rsidR="00E02907" w:rsidRPr="000774D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w</w:t>
      </w:r>
      <w:r w:rsidR="00E02907" w:rsidRPr="00C6153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2020 roku </w:t>
      </w:r>
      <w:r w:rsidR="000774D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światowe </w:t>
      </w:r>
      <w:r w:rsidR="00E02907" w:rsidRPr="00C6153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zarobki z gier wykorzystujących technologię VR wzrosły aż o 25%, </w:t>
      </w:r>
      <w:r w:rsidR="00E02907" w:rsidRPr="000774D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a udział gier mobilnych</w:t>
      </w:r>
      <w:r w:rsidR="00E02907" w:rsidRPr="00C6153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w globalnym rynku w 2020 wyniósł 73,8 mld dolarów</w:t>
      </w:r>
      <w:r w:rsidR="000774D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</w:t>
      </w:r>
    </w:p>
    <w:p w14:paraId="0B77347B" w14:textId="79FD16BD" w:rsidR="00B1729A" w:rsidRPr="000774DE" w:rsidRDefault="00546899">
      <w:pPr>
        <w:rPr>
          <w:sz w:val="22"/>
          <w:szCs w:val="22"/>
        </w:rPr>
      </w:pPr>
      <w:r w:rsidRPr="000774DE">
        <w:rPr>
          <w:sz w:val="22"/>
          <w:szCs w:val="22"/>
        </w:rPr>
        <w:t>Druga grupa</w:t>
      </w:r>
      <w:r w:rsidR="00B1729A" w:rsidRPr="000774DE">
        <w:rPr>
          <w:sz w:val="22"/>
          <w:szCs w:val="22"/>
        </w:rPr>
        <w:t xml:space="preserve"> to firmy</w:t>
      </w:r>
      <w:r w:rsidRPr="000774DE">
        <w:rPr>
          <w:sz w:val="22"/>
          <w:szCs w:val="22"/>
        </w:rPr>
        <w:t xml:space="preserve"> obsługując</w:t>
      </w:r>
      <w:r w:rsidR="00B1729A" w:rsidRPr="000774DE">
        <w:rPr>
          <w:sz w:val="22"/>
          <w:szCs w:val="22"/>
        </w:rPr>
        <w:t>e</w:t>
      </w:r>
      <w:r w:rsidRPr="000774DE">
        <w:rPr>
          <w:sz w:val="22"/>
          <w:szCs w:val="22"/>
        </w:rPr>
        <w:t xml:space="preserve"> koncerty, eventy, mecze itp. </w:t>
      </w:r>
    </w:p>
    <w:p w14:paraId="6494EB9B" w14:textId="77777777" w:rsidR="00B1729A" w:rsidRPr="000774DE" w:rsidRDefault="00B1729A">
      <w:pPr>
        <w:rPr>
          <w:i/>
          <w:iCs/>
          <w:sz w:val="22"/>
          <w:szCs w:val="22"/>
        </w:rPr>
      </w:pPr>
    </w:p>
    <w:p w14:paraId="44DFAC1E" w14:textId="64E13F4C" w:rsidR="00CE583D" w:rsidRPr="000774DE" w:rsidRDefault="00E66D36">
      <w:pPr>
        <w:rPr>
          <w:sz w:val="22"/>
          <w:szCs w:val="22"/>
        </w:rPr>
      </w:pPr>
      <w:r w:rsidRPr="000774DE">
        <w:rPr>
          <w:i/>
          <w:iCs/>
          <w:sz w:val="22"/>
          <w:szCs w:val="22"/>
        </w:rPr>
        <w:t xml:space="preserve">- </w:t>
      </w:r>
      <w:r w:rsidR="00B1729A" w:rsidRPr="000774DE">
        <w:rPr>
          <w:i/>
          <w:iCs/>
          <w:sz w:val="22"/>
          <w:szCs w:val="22"/>
        </w:rPr>
        <w:t xml:space="preserve">Takie firmy przez </w:t>
      </w:r>
      <w:r w:rsidRPr="000774DE">
        <w:rPr>
          <w:i/>
          <w:iCs/>
          <w:sz w:val="22"/>
          <w:szCs w:val="22"/>
        </w:rPr>
        <w:t>wiele miesięcy m</w:t>
      </w:r>
      <w:r w:rsidR="00546899" w:rsidRPr="000774DE">
        <w:rPr>
          <w:i/>
          <w:iCs/>
          <w:sz w:val="22"/>
          <w:szCs w:val="22"/>
        </w:rPr>
        <w:t>iał</w:t>
      </w:r>
      <w:r w:rsidRPr="000774DE">
        <w:rPr>
          <w:i/>
          <w:iCs/>
          <w:sz w:val="22"/>
          <w:szCs w:val="22"/>
        </w:rPr>
        <w:t>y</w:t>
      </w:r>
      <w:r w:rsidR="00546899" w:rsidRPr="000774DE">
        <w:rPr>
          <w:i/>
          <w:iCs/>
          <w:sz w:val="22"/>
          <w:szCs w:val="22"/>
        </w:rPr>
        <w:t xml:space="preserve"> ogromne kłopoty z płynnością finansową. Ich zleceniodawcy, czyli duże instytucje kulturalne, organizatorzy imprez</w:t>
      </w:r>
      <w:r w:rsidRPr="000774DE">
        <w:rPr>
          <w:i/>
          <w:iCs/>
          <w:sz w:val="22"/>
          <w:szCs w:val="22"/>
        </w:rPr>
        <w:t xml:space="preserve"> c</w:t>
      </w:r>
      <w:r w:rsidR="00546899" w:rsidRPr="000774DE">
        <w:rPr>
          <w:i/>
          <w:iCs/>
          <w:sz w:val="22"/>
          <w:szCs w:val="22"/>
        </w:rPr>
        <w:t xml:space="preserve">zy kluby </w:t>
      </w:r>
      <w:proofErr w:type="gramStart"/>
      <w:r w:rsidR="00546899" w:rsidRPr="000774DE">
        <w:rPr>
          <w:i/>
          <w:iCs/>
          <w:sz w:val="22"/>
          <w:szCs w:val="22"/>
        </w:rPr>
        <w:t>sportowe</w:t>
      </w:r>
      <w:r w:rsidR="000774DE">
        <w:rPr>
          <w:i/>
          <w:iCs/>
          <w:sz w:val="22"/>
          <w:szCs w:val="22"/>
        </w:rPr>
        <w:t>,</w:t>
      </w:r>
      <w:proofErr w:type="gramEnd"/>
      <w:r w:rsidR="00546899" w:rsidRPr="000774DE">
        <w:rPr>
          <w:i/>
          <w:iCs/>
          <w:sz w:val="22"/>
          <w:szCs w:val="22"/>
        </w:rPr>
        <w:t xml:space="preserve"> albo zawieszali działalność, albo opóźniali płatności. W tym roku w stosunku do ubiegłej jesieni widać jednak z</w:t>
      </w:r>
      <w:r w:rsidRPr="000774DE">
        <w:rPr>
          <w:i/>
          <w:iCs/>
          <w:sz w:val="22"/>
          <w:szCs w:val="22"/>
        </w:rPr>
        <w:t>nacz</w:t>
      </w:r>
      <w:r w:rsidR="00546899" w:rsidRPr="000774DE">
        <w:rPr>
          <w:i/>
          <w:iCs/>
          <w:sz w:val="22"/>
          <w:szCs w:val="22"/>
        </w:rPr>
        <w:t>ącą popr</w:t>
      </w:r>
      <w:r w:rsidRPr="000774DE">
        <w:rPr>
          <w:i/>
          <w:iCs/>
          <w:sz w:val="22"/>
          <w:szCs w:val="22"/>
        </w:rPr>
        <w:t>a</w:t>
      </w:r>
      <w:r w:rsidR="00546899" w:rsidRPr="000774DE">
        <w:rPr>
          <w:i/>
          <w:iCs/>
          <w:sz w:val="22"/>
          <w:szCs w:val="22"/>
        </w:rPr>
        <w:t xml:space="preserve">wę, </w:t>
      </w:r>
      <w:r w:rsidRPr="000774DE">
        <w:rPr>
          <w:i/>
          <w:iCs/>
          <w:sz w:val="22"/>
          <w:szCs w:val="22"/>
        </w:rPr>
        <w:t>b</w:t>
      </w:r>
      <w:r w:rsidR="00546899" w:rsidRPr="000774DE">
        <w:rPr>
          <w:i/>
          <w:iCs/>
          <w:sz w:val="22"/>
          <w:szCs w:val="22"/>
        </w:rPr>
        <w:t>rak lockdownów pozw</w:t>
      </w:r>
      <w:r w:rsidRPr="000774DE">
        <w:rPr>
          <w:i/>
          <w:iCs/>
          <w:sz w:val="22"/>
          <w:szCs w:val="22"/>
        </w:rPr>
        <w:t>o</w:t>
      </w:r>
      <w:r w:rsidR="00546899" w:rsidRPr="000774DE">
        <w:rPr>
          <w:i/>
          <w:iCs/>
          <w:sz w:val="22"/>
          <w:szCs w:val="22"/>
        </w:rPr>
        <w:t xml:space="preserve">lił im działać. Ma to odzwierciedlenie w liczbie wystawianych faktur za pośrednictwem faktura.pl. W tym roku branża rozrywkowa wystawiła w </w:t>
      </w:r>
      <w:r w:rsidRPr="000774DE">
        <w:rPr>
          <w:i/>
          <w:iCs/>
          <w:sz w:val="22"/>
          <w:szCs w:val="22"/>
        </w:rPr>
        <w:t>październiku</w:t>
      </w:r>
      <w:r w:rsidR="00546899" w:rsidRPr="000774DE">
        <w:rPr>
          <w:i/>
          <w:iCs/>
          <w:sz w:val="22"/>
          <w:szCs w:val="22"/>
        </w:rPr>
        <w:t xml:space="preserve"> o 45% faktur więcej niż w ubiegłym</w:t>
      </w:r>
      <w:r w:rsidRPr="000774DE">
        <w:rPr>
          <w:i/>
          <w:iCs/>
          <w:sz w:val="22"/>
          <w:szCs w:val="22"/>
        </w:rPr>
        <w:t xml:space="preserve"> – </w:t>
      </w:r>
      <w:r w:rsidRPr="000774DE">
        <w:rPr>
          <w:sz w:val="22"/>
          <w:szCs w:val="22"/>
        </w:rPr>
        <w:t>mówi</w:t>
      </w:r>
      <w:r w:rsidRPr="000774DE">
        <w:rPr>
          <w:i/>
          <w:iCs/>
          <w:sz w:val="22"/>
          <w:szCs w:val="22"/>
        </w:rPr>
        <w:t xml:space="preserve"> </w:t>
      </w:r>
      <w:r w:rsidR="00EC3463" w:rsidRPr="00FF7C05">
        <w:rPr>
          <w:sz w:val="22"/>
          <w:szCs w:val="22"/>
        </w:rPr>
        <w:t>Grzegorz Grodek, prezes faktura.pl</w:t>
      </w:r>
      <w:r w:rsidR="00BA79F0">
        <w:rPr>
          <w:sz w:val="22"/>
          <w:szCs w:val="22"/>
        </w:rPr>
        <w:t xml:space="preserve"> – platformy do wystawiania faktur.</w:t>
      </w:r>
    </w:p>
    <w:p w14:paraId="7D51DA22" w14:textId="77F7F246" w:rsidR="00C6153E" w:rsidRPr="000774DE" w:rsidRDefault="00C6153E">
      <w:pPr>
        <w:rPr>
          <w:sz w:val="22"/>
          <w:szCs w:val="22"/>
        </w:rPr>
      </w:pPr>
    </w:p>
    <w:p w14:paraId="59129569" w14:textId="34C6BA0D" w:rsidR="00E02907" w:rsidRPr="000774DE" w:rsidRDefault="00E66D36" w:rsidP="00EC3463">
      <w:pPr>
        <w:rPr>
          <w:sz w:val="22"/>
          <w:szCs w:val="22"/>
        </w:rPr>
      </w:pPr>
      <w:r w:rsidRPr="00FF7C05">
        <w:rPr>
          <w:b/>
          <w:bCs/>
          <w:sz w:val="22"/>
          <w:szCs w:val="22"/>
        </w:rPr>
        <w:t>Wśród konkretnych branż, wg kodów PKD</w:t>
      </w:r>
      <w:r w:rsidRPr="000774DE">
        <w:rPr>
          <w:sz w:val="22"/>
          <w:szCs w:val="22"/>
        </w:rPr>
        <w:t xml:space="preserve">, które wystawiają w tym roku za pośrednictwem faktura.pl więcej faktur są m.in. </w:t>
      </w:r>
      <w:r w:rsidR="00FF7C05" w:rsidRPr="00EC3463">
        <w:rPr>
          <w:sz w:val="22"/>
          <w:szCs w:val="22"/>
        </w:rPr>
        <w:t>9321Z</w:t>
      </w:r>
      <w:r w:rsidR="00FF7C05">
        <w:rPr>
          <w:sz w:val="22"/>
          <w:szCs w:val="22"/>
        </w:rPr>
        <w:t xml:space="preserve"> (</w:t>
      </w:r>
      <w:r w:rsidR="00FF7C05" w:rsidRPr="00FF7C05">
        <w:rPr>
          <w:sz w:val="22"/>
          <w:szCs w:val="22"/>
        </w:rPr>
        <w:t>Działalność wesołych miasteczek i parków rozrywki</w:t>
      </w:r>
      <w:r w:rsidR="00FF7C05">
        <w:rPr>
          <w:sz w:val="22"/>
          <w:szCs w:val="22"/>
        </w:rPr>
        <w:t xml:space="preserve">), </w:t>
      </w:r>
      <w:r w:rsidR="00FF7C05" w:rsidRPr="00EC3463">
        <w:rPr>
          <w:sz w:val="22"/>
          <w:szCs w:val="22"/>
        </w:rPr>
        <w:t>9004Z</w:t>
      </w:r>
      <w:r w:rsidR="00FF7C05">
        <w:rPr>
          <w:sz w:val="22"/>
          <w:szCs w:val="22"/>
        </w:rPr>
        <w:t xml:space="preserve"> (</w:t>
      </w:r>
      <w:r w:rsidR="00FF7C05" w:rsidRPr="00FF7C05">
        <w:rPr>
          <w:sz w:val="22"/>
          <w:szCs w:val="22"/>
        </w:rPr>
        <w:t>Działalność twórcza związana z kulturą i rozrywką</w:t>
      </w:r>
      <w:r w:rsidR="00FF7C05">
        <w:rPr>
          <w:sz w:val="22"/>
          <w:szCs w:val="22"/>
        </w:rPr>
        <w:t xml:space="preserve">), </w:t>
      </w:r>
      <w:r w:rsidR="00EC3463" w:rsidRPr="00EC3463">
        <w:rPr>
          <w:sz w:val="22"/>
          <w:szCs w:val="22"/>
        </w:rPr>
        <w:t>5911Z</w:t>
      </w:r>
      <w:r w:rsidR="00FF7C05">
        <w:rPr>
          <w:sz w:val="22"/>
          <w:szCs w:val="22"/>
        </w:rPr>
        <w:t xml:space="preserve"> (</w:t>
      </w:r>
      <w:r w:rsidR="00FF7C05" w:rsidRPr="00FF7C05">
        <w:rPr>
          <w:sz w:val="22"/>
          <w:szCs w:val="22"/>
        </w:rPr>
        <w:t>Działalność związana z produkcją filmów, nagrań wideo i programów telewizyjnych</w:t>
      </w:r>
      <w:r w:rsidR="00FF7C05">
        <w:rPr>
          <w:sz w:val="22"/>
          <w:szCs w:val="22"/>
        </w:rPr>
        <w:t>)</w:t>
      </w:r>
      <w:r w:rsidR="00EC3463">
        <w:rPr>
          <w:sz w:val="22"/>
          <w:szCs w:val="22"/>
        </w:rPr>
        <w:t xml:space="preserve">, </w:t>
      </w:r>
      <w:r w:rsidR="00EC3463" w:rsidRPr="00EC3463">
        <w:rPr>
          <w:sz w:val="22"/>
          <w:szCs w:val="22"/>
        </w:rPr>
        <w:t>9329Z</w:t>
      </w:r>
      <w:r w:rsidR="00FF7C05">
        <w:rPr>
          <w:sz w:val="22"/>
          <w:szCs w:val="22"/>
        </w:rPr>
        <w:t xml:space="preserve"> (</w:t>
      </w:r>
      <w:r w:rsidR="00FF7C05" w:rsidRPr="00FF7C05">
        <w:rPr>
          <w:sz w:val="22"/>
          <w:szCs w:val="22"/>
        </w:rPr>
        <w:t>Pozostała działalność rozrywkowa i rekreacyjna</w:t>
      </w:r>
      <w:r w:rsidR="00FF7C05">
        <w:rPr>
          <w:sz w:val="22"/>
          <w:szCs w:val="22"/>
        </w:rPr>
        <w:t>)</w:t>
      </w:r>
      <w:r w:rsidR="00EC3463">
        <w:rPr>
          <w:sz w:val="22"/>
          <w:szCs w:val="22"/>
        </w:rPr>
        <w:t xml:space="preserve">, </w:t>
      </w:r>
      <w:r w:rsidR="00EC3463" w:rsidRPr="00EC3463">
        <w:rPr>
          <w:sz w:val="22"/>
          <w:szCs w:val="22"/>
        </w:rPr>
        <w:t>9001Z</w:t>
      </w:r>
      <w:r w:rsidR="00FF7C05">
        <w:rPr>
          <w:sz w:val="22"/>
          <w:szCs w:val="22"/>
        </w:rPr>
        <w:t xml:space="preserve"> (</w:t>
      </w:r>
      <w:r w:rsidR="00FF7C05" w:rsidRPr="00FF7C05">
        <w:rPr>
          <w:sz w:val="22"/>
          <w:szCs w:val="22"/>
        </w:rPr>
        <w:t>Działalność związana z wystawianiem przedstawień artystycznych</w:t>
      </w:r>
      <w:r w:rsidR="00FF7C05">
        <w:rPr>
          <w:sz w:val="22"/>
          <w:szCs w:val="22"/>
        </w:rPr>
        <w:t>)</w:t>
      </w:r>
      <w:r w:rsidR="00EC3463">
        <w:rPr>
          <w:sz w:val="22"/>
          <w:szCs w:val="22"/>
        </w:rPr>
        <w:t>,</w:t>
      </w:r>
      <w:r w:rsidR="00FF7C05">
        <w:rPr>
          <w:sz w:val="22"/>
          <w:szCs w:val="22"/>
        </w:rPr>
        <w:t xml:space="preserve"> </w:t>
      </w:r>
      <w:r w:rsidR="00EC3463" w:rsidRPr="00EC3463">
        <w:rPr>
          <w:sz w:val="22"/>
          <w:szCs w:val="22"/>
        </w:rPr>
        <w:t>9002Z</w:t>
      </w:r>
      <w:r w:rsidR="00FF7C05">
        <w:rPr>
          <w:sz w:val="22"/>
          <w:szCs w:val="22"/>
        </w:rPr>
        <w:t xml:space="preserve"> (</w:t>
      </w:r>
      <w:r w:rsidR="00FF7C05" w:rsidRPr="00FF7C05">
        <w:rPr>
          <w:sz w:val="22"/>
          <w:szCs w:val="22"/>
        </w:rPr>
        <w:t>Działalność wspomagająca wystawianie przedstawień artystycznych</w:t>
      </w:r>
      <w:r w:rsidR="00FF7C05">
        <w:rPr>
          <w:sz w:val="22"/>
          <w:szCs w:val="22"/>
        </w:rPr>
        <w:t>)</w:t>
      </w:r>
      <w:r w:rsidR="00EC3463">
        <w:rPr>
          <w:sz w:val="22"/>
          <w:szCs w:val="22"/>
        </w:rPr>
        <w:t xml:space="preserve">, </w:t>
      </w:r>
      <w:r w:rsidR="00EC3463" w:rsidRPr="00EC3463">
        <w:rPr>
          <w:sz w:val="22"/>
          <w:szCs w:val="22"/>
        </w:rPr>
        <w:t>9200Z</w:t>
      </w:r>
      <w:r w:rsidR="00FF7C05">
        <w:rPr>
          <w:sz w:val="22"/>
          <w:szCs w:val="22"/>
        </w:rPr>
        <w:t xml:space="preserve"> (</w:t>
      </w:r>
      <w:r w:rsidR="00FF7C05" w:rsidRPr="00FF7C05">
        <w:rPr>
          <w:sz w:val="22"/>
          <w:szCs w:val="22"/>
        </w:rPr>
        <w:t>działalność związana z grami losowymi i zakładami wzajemnymi</w:t>
      </w:r>
      <w:r w:rsidR="00FF7C05">
        <w:rPr>
          <w:sz w:val="22"/>
          <w:szCs w:val="22"/>
        </w:rPr>
        <w:t>).</w:t>
      </w:r>
    </w:p>
    <w:p w14:paraId="063CE554" w14:textId="18230FCE" w:rsidR="00E02907" w:rsidRPr="00C6153E" w:rsidRDefault="000774DE" w:rsidP="00E02907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0774D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Spektakularnym p</w:t>
      </w:r>
      <w:r w:rsidR="00E02907" w:rsidRPr="000774D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rzykładem tegorocznego jesiennego powrotu do rozrywki jest</w:t>
      </w:r>
      <w:r w:rsidR="00E02907" w:rsidRPr="00C6153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25. części serii filmów o Jamesie Bondzie, czyli "Nie czas umierać". W pierwszy weekend wyświetlania film zebrał rekordową widownię – przeszło 440 tys. osób, co było najlepszym wynikiem w kinach w Polsce od początku pandemii. Niecałe 2 tygodnie po premierze obejrzało go ponad milion osób.</w:t>
      </w:r>
      <w:r w:rsidRPr="000774D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Warto zdać sobie sprawę, że chodząc do kina nie tylko powiększaliśmy zyski właścicieli multipleksów, ale także dawaliśmy prac</w:t>
      </w:r>
      <w:r w:rsidR="00FB194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ę</w:t>
      </w:r>
      <w:r w:rsidRPr="000774D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obsłudze technicznej, dostawcom cateringu, sprzątającym czy sprzedającym bilety. Wiel</w:t>
      </w:r>
      <w:r w:rsidR="00FB194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e</w:t>
      </w:r>
      <w:r w:rsidRPr="000774D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takich osób pracuje na jednoosobowej działalności gospodarczej.</w:t>
      </w:r>
    </w:p>
    <w:p w14:paraId="23D36E74" w14:textId="77777777" w:rsidR="00E66D36" w:rsidRPr="000774DE" w:rsidRDefault="00E66D36">
      <w:pPr>
        <w:rPr>
          <w:sz w:val="22"/>
          <w:szCs w:val="22"/>
        </w:rPr>
      </w:pPr>
    </w:p>
    <w:p w14:paraId="04FB8338" w14:textId="063E936F" w:rsidR="00E66D36" w:rsidRPr="000774DE" w:rsidRDefault="00E66D36">
      <w:pPr>
        <w:rPr>
          <w:b/>
          <w:bCs/>
          <w:sz w:val="22"/>
          <w:szCs w:val="22"/>
        </w:rPr>
      </w:pPr>
      <w:r w:rsidRPr="000774DE">
        <w:rPr>
          <w:b/>
          <w:bCs/>
          <w:sz w:val="22"/>
          <w:szCs w:val="22"/>
        </w:rPr>
        <w:t>Kluby piłkarskie id</w:t>
      </w:r>
      <w:r w:rsidR="00E02907" w:rsidRPr="000774DE">
        <w:rPr>
          <w:b/>
          <w:bCs/>
          <w:sz w:val="22"/>
          <w:szCs w:val="22"/>
        </w:rPr>
        <w:t>ą</w:t>
      </w:r>
      <w:r w:rsidRPr="000774DE">
        <w:rPr>
          <w:b/>
          <w:bCs/>
          <w:sz w:val="22"/>
          <w:szCs w:val="22"/>
        </w:rPr>
        <w:t xml:space="preserve"> po pieniądze</w:t>
      </w:r>
    </w:p>
    <w:p w14:paraId="13CC632C" w14:textId="77777777" w:rsidR="00E66D36" w:rsidRPr="000774DE" w:rsidRDefault="00E66D36">
      <w:pPr>
        <w:rPr>
          <w:b/>
          <w:bCs/>
          <w:sz w:val="22"/>
          <w:szCs w:val="22"/>
        </w:rPr>
      </w:pPr>
    </w:p>
    <w:p w14:paraId="7347711C" w14:textId="58DFCF21" w:rsidR="00E66D36" w:rsidRPr="000774DE" w:rsidRDefault="00827A29">
      <w:pPr>
        <w:rPr>
          <w:sz w:val="22"/>
          <w:szCs w:val="22"/>
        </w:rPr>
      </w:pPr>
      <w:r w:rsidRPr="000774DE">
        <w:rPr>
          <w:sz w:val="22"/>
          <w:szCs w:val="22"/>
        </w:rPr>
        <w:t>Rozrywka to także kluby sportowe</w:t>
      </w:r>
      <w:r w:rsidR="00E66D36" w:rsidRPr="000774DE">
        <w:rPr>
          <w:sz w:val="22"/>
          <w:szCs w:val="22"/>
        </w:rPr>
        <w:t xml:space="preserve"> -</w:t>
      </w:r>
      <w:r w:rsidRPr="000774DE">
        <w:rPr>
          <w:sz w:val="22"/>
          <w:szCs w:val="22"/>
        </w:rPr>
        <w:t xml:space="preserve"> piłkarskie, koszykarskie, si</w:t>
      </w:r>
      <w:r w:rsidR="00E66D36" w:rsidRPr="000774DE">
        <w:rPr>
          <w:sz w:val="22"/>
          <w:szCs w:val="22"/>
        </w:rPr>
        <w:t>a</w:t>
      </w:r>
      <w:r w:rsidRPr="000774DE">
        <w:rPr>
          <w:sz w:val="22"/>
          <w:szCs w:val="22"/>
        </w:rPr>
        <w:t xml:space="preserve">tkarskie </w:t>
      </w:r>
      <w:r w:rsidR="00E66D36" w:rsidRPr="000774DE">
        <w:rPr>
          <w:sz w:val="22"/>
          <w:szCs w:val="22"/>
        </w:rPr>
        <w:t>i</w:t>
      </w:r>
      <w:r w:rsidRPr="000774DE">
        <w:rPr>
          <w:sz w:val="22"/>
          <w:szCs w:val="22"/>
        </w:rPr>
        <w:t xml:space="preserve"> inne. Poza czołowymi zespołami</w:t>
      </w:r>
      <w:r w:rsidR="00E66D36" w:rsidRPr="000774DE">
        <w:rPr>
          <w:sz w:val="22"/>
          <w:szCs w:val="22"/>
        </w:rPr>
        <w:t>, które mają duże i dosyć stabilne przychody,</w:t>
      </w:r>
      <w:r w:rsidRPr="000774DE">
        <w:rPr>
          <w:sz w:val="22"/>
          <w:szCs w:val="22"/>
        </w:rPr>
        <w:t xml:space="preserve"> większoś</w:t>
      </w:r>
      <w:r w:rsidR="00FB1941">
        <w:rPr>
          <w:sz w:val="22"/>
          <w:szCs w:val="22"/>
        </w:rPr>
        <w:t>ć</w:t>
      </w:r>
      <w:r w:rsidRPr="000774DE">
        <w:rPr>
          <w:sz w:val="22"/>
          <w:szCs w:val="22"/>
        </w:rPr>
        <w:t xml:space="preserve"> z trudem zdobywa sponsorów</w:t>
      </w:r>
      <w:r w:rsidR="00E66D36" w:rsidRPr="000774DE">
        <w:rPr>
          <w:sz w:val="22"/>
          <w:szCs w:val="22"/>
        </w:rPr>
        <w:t xml:space="preserve"> i środki na bieżące funkcjonowanie</w:t>
      </w:r>
      <w:r w:rsidRPr="000774DE">
        <w:rPr>
          <w:sz w:val="22"/>
          <w:szCs w:val="22"/>
        </w:rPr>
        <w:t>. W pandemii spotkały się z dodatkowym kłopotem</w:t>
      </w:r>
      <w:r w:rsidR="00E66D36" w:rsidRPr="000774DE">
        <w:rPr>
          <w:sz w:val="22"/>
          <w:szCs w:val="22"/>
        </w:rPr>
        <w:t xml:space="preserve">, bo zamknięte w zeszłym roku trybuny to brak przychodów z tak zwanego „dnia meczowego”. To oprócz biletów </w:t>
      </w:r>
      <w:r w:rsidR="00E66D36" w:rsidRPr="000774DE">
        <w:rPr>
          <w:sz w:val="22"/>
          <w:szCs w:val="22"/>
        </w:rPr>
        <w:lastRenderedPageBreak/>
        <w:t>także catering, opłaty parkingowe, sprzedaż koszulek czy pamiątek i innych sportowych gadżetów. W tym roku nawet jeśli nie ma pełnych trybun część przychodów z dnia meczowego wpływa na konta.</w:t>
      </w:r>
    </w:p>
    <w:p w14:paraId="435764C3" w14:textId="77777777" w:rsidR="00E66D36" w:rsidRPr="000774DE" w:rsidRDefault="00E66D36">
      <w:pPr>
        <w:rPr>
          <w:sz w:val="22"/>
          <w:szCs w:val="22"/>
        </w:rPr>
      </w:pPr>
    </w:p>
    <w:p w14:paraId="1E615F69" w14:textId="46DC5F3C" w:rsidR="009D60BD" w:rsidRPr="000774DE" w:rsidRDefault="00E66D36">
      <w:pPr>
        <w:rPr>
          <w:sz w:val="22"/>
          <w:szCs w:val="22"/>
        </w:rPr>
      </w:pPr>
      <w:r w:rsidRPr="000774DE">
        <w:rPr>
          <w:sz w:val="22"/>
          <w:szCs w:val="22"/>
        </w:rPr>
        <w:t>Kłopoty często są za to ze s</w:t>
      </w:r>
      <w:r w:rsidR="00827A29" w:rsidRPr="000774DE">
        <w:rPr>
          <w:sz w:val="22"/>
          <w:szCs w:val="22"/>
        </w:rPr>
        <w:t>ponsor</w:t>
      </w:r>
      <w:r w:rsidRPr="000774DE">
        <w:rPr>
          <w:sz w:val="22"/>
          <w:szCs w:val="22"/>
        </w:rPr>
        <w:t>ami: ci</w:t>
      </w:r>
      <w:r w:rsidR="00FF7C05">
        <w:rPr>
          <w:sz w:val="22"/>
          <w:szCs w:val="22"/>
        </w:rPr>
        <w:t>,</w:t>
      </w:r>
      <w:r w:rsidR="00827A29" w:rsidRPr="000774DE">
        <w:rPr>
          <w:sz w:val="22"/>
          <w:szCs w:val="22"/>
        </w:rPr>
        <w:t xml:space="preserve"> sami mając problemy, nagminnie opóźnia</w:t>
      </w:r>
      <w:r w:rsidRPr="000774DE">
        <w:rPr>
          <w:sz w:val="22"/>
          <w:szCs w:val="22"/>
        </w:rPr>
        <w:t>ją</w:t>
      </w:r>
      <w:r w:rsidR="00827A29" w:rsidRPr="000774DE">
        <w:rPr>
          <w:sz w:val="22"/>
          <w:szCs w:val="22"/>
        </w:rPr>
        <w:t xml:space="preserve"> przelewy wynegocjowanych rat sponsorskich. </w:t>
      </w:r>
    </w:p>
    <w:p w14:paraId="4DEA0EAC" w14:textId="2741AE88" w:rsidR="00827A29" w:rsidRPr="000774DE" w:rsidRDefault="00827A29">
      <w:pPr>
        <w:rPr>
          <w:sz w:val="22"/>
          <w:szCs w:val="22"/>
        </w:rPr>
      </w:pPr>
    </w:p>
    <w:p w14:paraId="1DD16D47" w14:textId="226F80AD" w:rsidR="00827A29" w:rsidRPr="000774DE" w:rsidRDefault="00827A29">
      <w:pPr>
        <w:rPr>
          <w:sz w:val="22"/>
          <w:szCs w:val="22"/>
        </w:rPr>
      </w:pPr>
      <w:r w:rsidRPr="000774DE">
        <w:rPr>
          <w:i/>
          <w:iCs/>
          <w:sz w:val="22"/>
          <w:szCs w:val="22"/>
        </w:rPr>
        <w:t>- To nowe zjawisko w polski</w:t>
      </w:r>
      <w:r w:rsidR="00E66D36" w:rsidRPr="000774DE">
        <w:rPr>
          <w:i/>
          <w:iCs/>
          <w:sz w:val="22"/>
          <w:szCs w:val="22"/>
        </w:rPr>
        <w:t>m</w:t>
      </w:r>
      <w:r w:rsidRPr="000774DE">
        <w:rPr>
          <w:i/>
          <w:iCs/>
          <w:sz w:val="22"/>
          <w:szCs w:val="22"/>
        </w:rPr>
        <w:t xml:space="preserve"> świecie finansowania sportu. Kluby piłkarskie zaczęły </w:t>
      </w:r>
      <w:r w:rsidR="00E66D36" w:rsidRPr="000774DE">
        <w:rPr>
          <w:i/>
          <w:iCs/>
          <w:sz w:val="22"/>
          <w:szCs w:val="22"/>
        </w:rPr>
        <w:t>szukać</w:t>
      </w:r>
      <w:r w:rsidRPr="000774DE">
        <w:rPr>
          <w:i/>
          <w:iCs/>
          <w:sz w:val="22"/>
          <w:szCs w:val="22"/>
        </w:rPr>
        <w:t xml:space="preserve"> sposobów, żeby skrócić czas oczekiwania na przelewy od sponsorów. Te zazwyczaj wykonywane </w:t>
      </w:r>
      <w:r w:rsidR="00FB1941" w:rsidRPr="000774DE">
        <w:rPr>
          <w:i/>
          <w:iCs/>
          <w:sz w:val="22"/>
          <w:szCs w:val="22"/>
        </w:rPr>
        <w:t>są</w:t>
      </w:r>
      <w:r w:rsidRPr="000774DE">
        <w:rPr>
          <w:i/>
          <w:iCs/>
          <w:sz w:val="22"/>
          <w:szCs w:val="22"/>
        </w:rPr>
        <w:t xml:space="preserve"> na podstawie </w:t>
      </w:r>
      <w:r w:rsidR="00E66D36" w:rsidRPr="000774DE">
        <w:rPr>
          <w:i/>
          <w:iCs/>
          <w:sz w:val="22"/>
          <w:szCs w:val="22"/>
        </w:rPr>
        <w:t>kolejnych</w:t>
      </w:r>
      <w:r w:rsidRPr="000774DE">
        <w:rPr>
          <w:i/>
          <w:iCs/>
          <w:sz w:val="22"/>
          <w:szCs w:val="22"/>
        </w:rPr>
        <w:t xml:space="preserve"> faktur. W </w:t>
      </w:r>
      <w:r w:rsidR="00FB1941">
        <w:rPr>
          <w:i/>
          <w:iCs/>
          <w:sz w:val="22"/>
          <w:szCs w:val="22"/>
        </w:rPr>
        <w:t>p</w:t>
      </w:r>
      <w:r w:rsidRPr="000774DE">
        <w:rPr>
          <w:i/>
          <w:iCs/>
          <w:sz w:val="22"/>
          <w:szCs w:val="22"/>
        </w:rPr>
        <w:t xml:space="preserve">andemii sponsorzy nalegali, żeby płacić je jak najpóźniej, np. kilka miesięcy po wystawieniu kolejnej faktury. </w:t>
      </w:r>
      <w:r w:rsidR="00E66D36" w:rsidRPr="000774DE">
        <w:rPr>
          <w:i/>
          <w:iCs/>
          <w:sz w:val="22"/>
          <w:szCs w:val="22"/>
        </w:rPr>
        <w:t xml:space="preserve">Klubom sportowym trudno było odmówić takim oczekiwaniom. </w:t>
      </w:r>
      <w:r w:rsidR="00A230F2" w:rsidRPr="000774DE">
        <w:rPr>
          <w:i/>
          <w:iCs/>
          <w:sz w:val="22"/>
          <w:szCs w:val="22"/>
        </w:rPr>
        <w:t>Jednak to oznaczało dla nich kłopot z płynnością i możliwością realizowania zobowiązać wobec zawodników, sztabów szkoleniowych, za korzystanie z obiektów sportowych. Dlatego z</w:t>
      </w:r>
      <w:r w:rsidRPr="000774DE">
        <w:rPr>
          <w:i/>
          <w:iCs/>
          <w:sz w:val="22"/>
          <w:szCs w:val="22"/>
        </w:rPr>
        <w:t xml:space="preserve"> takim długoterminowymi fakturami klub</w:t>
      </w:r>
      <w:r w:rsidR="00A230F2" w:rsidRPr="000774DE">
        <w:rPr>
          <w:i/>
          <w:iCs/>
          <w:sz w:val="22"/>
          <w:szCs w:val="22"/>
        </w:rPr>
        <w:t>y</w:t>
      </w:r>
      <w:r w:rsidRPr="000774DE">
        <w:rPr>
          <w:i/>
          <w:iCs/>
          <w:sz w:val="22"/>
          <w:szCs w:val="22"/>
        </w:rPr>
        <w:t xml:space="preserve"> sportowe zaczęły się pojawiać u faktorów. W zamian za prowizję pieniądze otrzymywały od nich od razu, a faktorzy odzyskiwali je po kilku miesiącach. My te</w:t>
      </w:r>
      <w:r w:rsidR="00A230F2" w:rsidRPr="000774DE">
        <w:rPr>
          <w:i/>
          <w:iCs/>
          <w:sz w:val="22"/>
          <w:szCs w:val="22"/>
        </w:rPr>
        <w:t>ż</w:t>
      </w:r>
      <w:r w:rsidRPr="000774DE">
        <w:rPr>
          <w:i/>
          <w:iCs/>
          <w:sz w:val="22"/>
          <w:szCs w:val="22"/>
        </w:rPr>
        <w:t xml:space="preserve"> mieliśmy kilka takich przypadków</w:t>
      </w:r>
      <w:r w:rsidRPr="000774DE">
        <w:rPr>
          <w:sz w:val="22"/>
          <w:szCs w:val="22"/>
        </w:rPr>
        <w:t xml:space="preserve">. </w:t>
      </w:r>
      <w:r w:rsidR="00EC3463" w:rsidRPr="00506494">
        <w:rPr>
          <w:i/>
          <w:iCs/>
          <w:sz w:val="22"/>
          <w:szCs w:val="22"/>
        </w:rPr>
        <w:t>W ten sposób finansujemy kontrakty telewizyjne klubu, ale i inne spółki prezesa zarządu klubu</w:t>
      </w:r>
      <w:r w:rsidR="00EC3463">
        <w:rPr>
          <w:sz w:val="22"/>
          <w:szCs w:val="22"/>
        </w:rPr>
        <w:t xml:space="preserve"> – mówi Mateusz Skowronek, eFaktor – jeden z liderów faktoringu </w:t>
      </w:r>
      <w:proofErr w:type="spellStart"/>
      <w:r w:rsidR="00EC3463">
        <w:rPr>
          <w:sz w:val="22"/>
          <w:szCs w:val="22"/>
        </w:rPr>
        <w:t>pozabankowego</w:t>
      </w:r>
      <w:proofErr w:type="spellEnd"/>
      <w:r w:rsidR="00EC3463">
        <w:rPr>
          <w:sz w:val="22"/>
          <w:szCs w:val="22"/>
        </w:rPr>
        <w:t xml:space="preserve"> dla MŚP.</w:t>
      </w:r>
    </w:p>
    <w:p w14:paraId="2081B982" w14:textId="2BB6851F" w:rsidR="00827A29" w:rsidRPr="000774DE" w:rsidRDefault="00827A29">
      <w:pPr>
        <w:rPr>
          <w:sz w:val="22"/>
          <w:szCs w:val="22"/>
        </w:rPr>
      </w:pPr>
    </w:p>
    <w:p w14:paraId="2FC83181" w14:textId="53C696C2" w:rsidR="00C6153E" w:rsidRPr="00C6153E" w:rsidRDefault="00E02907" w:rsidP="00E02907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0774D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Perspektywy </w:t>
      </w:r>
      <w:r w:rsidR="00FB194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długoterminowe </w:t>
      </w:r>
      <w:r w:rsidRPr="000774D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firm obsługujących szeroko rozumiane eventy </w:t>
      </w:r>
      <w:r w:rsidR="00FB1941" w:rsidRPr="000774D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są</w:t>
      </w:r>
      <w:r w:rsidRPr="000774D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jednak dobre. Wg </w:t>
      </w:r>
      <w:r w:rsidR="00C6153E" w:rsidRPr="00C6153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Raport</w:t>
      </w:r>
      <w:r w:rsidRPr="000774D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u</w:t>
      </w:r>
      <w:r w:rsidR="00C6153E" w:rsidRPr="00C6153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Digital Event 2020/2021</w:t>
      </w:r>
      <w:r w:rsidRPr="000774D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  <w:r w:rsidR="00C6153E" w:rsidRPr="00C6153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80 proc. pytanych, skłania się do wykorzystywania w przyszłości obu formuł wydarzeń – online i offline,</w:t>
      </w:r>
      <w:r w:rsidRPr="000774D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a z</w:t>
      </w:r>
      <w:r w:rsidR="00C6153E" w:rsidRPr="00C6153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aledwie 9 proc. badanych chciałoby organizować jedynie eventy offline.</w:t>
      </w:r>
      <w:r w:rsidRPr="000774D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W Polsce badanie </w:t>
      </w:r>
      <w:r w:rsidR="00C6153E" w:rsidRPr="00C6153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„Perspektywy rozwoju branży rozrywki i mediów 2020/2024” PWC</w:t>
      </w:r>
      <w:r w:rsidRPr="000774D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wskazuje, że n</w:t>
      </w:r>
      <w:r w:rsidR="00C6153E" w:rsidRPr="00C6153E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a usługi medialne i rozrywkę w przyszłym roku Polacy wydadzą równowartość 10,5 mld dol., o 9,1 proc. więcej niż w 2021 r.</w:t>
      </w:r>
    </w:p>
    <w:p w14:paraId="1B3EC31E" w14:textId="77777777" w:rsidR="00C6153E" w:rsidRPr="00C6153E" w:rsidRDefault="00C6153E" w:rsidP="00C6153E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70AD0736" w14:textId="32C0C7AE" w:rsidR="00B93567" w:rsidRPr="00B93567" w:rsidRDefault="00B93567" w:rsidP="00B9356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93567">
        <w:rPr>
          <w:rFonts w:ascii="Segoe UI" w:eastAsia="Times New Roman" w:hAnsi="Segoe UI" w:cs="Segoe UI"/>
          <w:sz w:val="22"/>
          <w:szCs w:val="22"/>
          <w:lang w:eastAsia="pl-PL"/>
        </w:rPr>
        <w:br/>
      </w:r>
    </w:p>
    <w:p w14:paraId="63FA5C3F" w14:textId="77777777" w:rsidR="00B93567" w:rsidRPr="000774DE" w:rsidRDefault="00B93567">
      <w:pPr>
        <w:rPr>
          <w:sz w:val="22"/>
          <w:szCs w:val="22"/>
        </w:rPr>
      </w:pPr>
    </w:p>
    <w:sectPr w:rsidR="00B93567" w:rsidRPr="00077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B772E"/>
    <w:multiLevelType w:val="multilevel"/>
    <w:tmpl w:val="CE8A2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316D0C"/>
    <w:multiLevelType w:val="multilevel"/>
    <w:tmpl w:val="7BBA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202766"/>
    <w:multiLevelType w:val="multilevel"/>
    <w:tmpl w:val="76CAB1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8005E8"/>
    <w:multiLevelType w:val="multilevel"/>
    <w:tmpl w:val="6F3A8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004177"/>
    <w:multiLevelType w:val="multilevel"/>
    <w:tmpl w:val="8AD20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B3608C"/>
    <w:multiLevelType w:val="hybridMultilevel"/>
    <w:tmpl w:val="3E2C8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A3D77"/>
    <w:multiLevelType w:val="multilevel"/>
    <w:tmpl w:val="75B0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652E94"/>
    <w:multiLevelType w:val="multilevel"/>
    <w:tmpl w:val="1CF2E7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BD21FA"/>
    <w:multiLevelType w:val="multilevel"/>
    <w:tmpl w:val="63A8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535244"/>
    <w:multiLevelType w:val="multilevel"/>
    <w:tmpl w:val="A39632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685448"/>
    <w:multiLevelType w:val="multilevel"/>
    <w:tmpl w:val="4E98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1C452D"/>
    <w:multiLevelType w:val="multilevel"/>
    <w:tmpl w:val="04A4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3E"/>
    <w:rsid w:val="00070601"/>
    <w:rsid w:val="000774DE"/>
    <w:rsid w:val="00506494"/>
    <w:rsid w:val="00540A11"/>
    <w:rsid w:val="00546899"/>
    <w:rsid w:val="005835B3"/>
    <w:rsid w:val="00827A29"/>
    <w:rsid w:val="009D60BD"/>
    <w:rsid w:val="00A230F2"/>
    <w:rsid w:val="00B014C1"/>
    <w:rsid w:val="00B1729A"/>
    <w:rsid w:val="00B93567"/>
    <w:rsid w:val="00BA79F0"/>
    <w:rsid w:val="00C6153E"/>
    <w:rsid w:val="00CE583D"/>
    <w:rsid w:val="00E02907"/>
    <w:rsid w:val="00E66D36"/>
    <w:rsid w:val="00EC1D44"/>
    <w:rsid w:val="00EC3463"/>
    <w:rsid w:val="00FB1918"/>
    <w:rsid w:val="00FB1941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7CC6"/>
  <w15:chartTrackingRefBased/>
  <w15:docId w15:val="{8FF923D1-3929-E849-B5EC-44E78AC2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5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C6153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6153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6153E"/>
  </w:style>
  <w:style w:type="character" w:styleId="Uwydatnienie">
    <w:name w:val="Emphasis"/>
    <w:basedOn w:val="Domylnaczcionkaakapitu"/>
    <w:uiPriority w:val="20"/>
    <w:qFormat/>
    <w:rsid w:val="00C6153E"/>
    <w:rPr>
      <w:i/>
      <w:iCs/>
    </w:rPr>
  </w:style>
  <w:style w:type="paragraph" w:customStyle="1" w:styleId="v1msonormal">
    <w:name w:val="v1msonormal"/>
    <w:basedOn w:val="Normalny"/>
    <w:rsid w:val="00C615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51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4704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9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Trzaskoś</dc:creator>
  <cp:keywords/>
  <dc:description/>
  <cp:lastModifiedBy>Daniel Trzaskoś</cp:lastModifiedBy>
  <cp:revision>3</cp:revision>
  <dcterms:created xsi:type="dcterms:W3CDTF">2021-12-01T10:34:00Z</dcterms:created>
  <dcterms:modified xsi:type="dcterms:W3CDTF">2021-12-01T10:35:00Z</dcterms:modified>
</cp:coreProperties>
</file>